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4" w:rsidRDefault="003E65A4" w:rsidP="003E65A4">
      <w:pPr>
        <w:jc w:val="center"/>
        <w:rPr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德明財經科技大學</w:t>
      </w:r>
      <w:r w:rsidRPr="00244498">
        <w:rPr>
          <w:rFonts w:hint="eastAsia"/>
          <w:b/>
          <w:sz w:val="28"/>
          <w:szCs w:val="28"/>
        </w:rPr>
        <w:t>內部控制制度作業層級自行</w:t>
      </w:r>
      <w:r>
        <w:rPr>
          <w:rFonts w:hint="eastAsia"/>
          <w:b/>
          <w:sz w:val="28"/>
          <w:szCs w:val="28"/>
        </w:rPr>
        <w:t>評估</w:t>
      </w:r>
      <w:r w:rsidRPr="00244498">
        <w:rPr>
          <w:rFonts w:hint="eastAsia"/>
          <w:b/>
          <w:sz w:val="28"/>
          <w:szCs w:val="28"/>
        </w:rPr>
        <w:t>表</w:t>
      </w:r>
    </w:p>
    <w:p w:rsidR="003E65A4" w:rsidRDefault="003E65A4" w:rsidP="003E65A4">
      <w:pPr>
        <w:ind w:left="362" w:hangingChars="151" w:hanging="362"/>
        <w:jc w:val="center"/>
        <w:rPr>
          <w:rFonts w:ascii="Times New Roman"/>
        </w:rPr>
      </w:pPr>
      <w:r>
        <w:rPr>
          <w:rFonts w:ascii="Times New Roman" w:hAnsi="Times New Roman" w:hint="eastAsia"/>
          <w:u w:val="single"/>
        </w:rPr>
        <w:t xml:space="preserve"> </w:t>
      </w:r>
      <w:r w:rsidR="002F744B">
        <w:rPr>
          <w:rFonts w:ascii="Times New Roman" w:hAnsi="Times New Roman" w:hint="eastAsia"/>
          <w:u w:val="single"/>
        </w:rPr>
        <w:t xml:space="preserve">     </w:t>
      </w:r>
      <w:r>
        <w:rPr>
          <w:rFonts w:ascii="Times New Roman" w:hAnsi="Times New Roman" w:hint="eastAsia"/>
          <w:u w:val="single"/>
        </w:rPr>
        <w:t xml:space="preserve"> </w:t>
      </w:r>
      <w:r w:rsidRPr="00803383">
        <w:rPr>
          <w:rFonts w:ascii="Times New Roman"/>
        </w:rPr>
        <w:t>年度</w:t>
      </w:r>
      <w:bookmarkStart w:id="0" w:name="_GoBack"/>
      <w:bookmarkEnd w:id="0"/>
    </w:p>
    <w:p w:rsidR="003E65A4" w:rsidRPr="00460AF5" w:rsidRDefault="003E65A4" w:rsidP="003E65A4"/>
    <w:p w:rsidR="003E65A4" w:rsidRPr="00460AF5" w:rsidRDefault="003E65A4" w:rsidP="003E65A4">
      <w:r w:rsidRPr="00244498">
        <w:rPr>
          <w:rFonts w:hint="eastAsia"/>
        </w:rPr>
        <w:t>自行</w:t>
      </w:r>
      <w:r>
        <w:rPr>
          <w:rFonts w:hint="eastAsia"/>
        </w:rPr>
        <w:t>評估</w:t>
      </w:r>
      <w:r w:rsidRPr="00244498">
        <w:rPr>
          <w:rFonts w:hint="eastAsia"/>
        </w:rPr>
        <w:t>單位：</w:t>
      </w:r>
      <w:r>
        <w:rPr>
          <w:rFonts w:hint="eastAsia"/>
        </w:rPr>
        <w:t xml:space="preserve"> </w:t>
      </w:r>
      <w:r w:rsidRPr="008907C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  </w:t>
      </w:r>
    </w:p>
    <w:p w:rsidR="003E65A4" w:rsidRDefault="003E65A4" w:rsidP="003E65A4">
      <w:r w:rsidRPr="00244498">
        <w:rPr>
          <w:rFonts w:hint="eastAsia"/>
        </w:rPr>
        <w:t>作業類別(項目)：</w:t>
      </w:r>
      <w:r>
        <w:rPr>
          <w:rFonts w:hint="eastAsia"/>
          <w:u w:val="single"/>
        </w:rPr>
        <w:sym w:font="Wingdings 2" w:char="F081"/>
      </w:r>
      <w:r>
        <w:rPr>
          <w:rFonts w:hint="eastAsia"/>
          <w:u w:val="single"/>
        </w:rPr>
        <w:sym w:font="Wingdings 2" w:char="F081"/>
      </w:r>
      <w:r>
        <w:rPr>
          <w:rFonts w:hint="eastAsia"/>
          <w:u w:val="single"/>
        </w:rPr>
        <w:t xml:space="preserve">作業  </w:t>
      </w:r>
      <w:r w:rsidRPr="00244498">
        <w:rPr>
          <w:rFonts w:hint="eastAsia"/>
        </w:rPr>
        <w:t xml:space="preserve">     </w:t>
      </w:r>
      <w:r>
        <w:rPr>
          <w:rFonts w:hint="eastAsia"/>
        </w:rPr>
        <w:t xml:space="preserve">         評估</w:t>
      </w:r>
      <w:r w:rsidRPr="00244498">
        <w:rPr>
          <w:rFonts w:hint="eastAsia"/>
        </w:rPr>
        <w:t>日期：</w:t>
      </w:r>
      <w:r w:rsidRPr="00244498">
        <w:rPr>
          <w:rFonts w:hint="eastAsia"/>
          <w:u w:val="single"/>
        </w:rPr>
        <w:t xml:space="preserve"> </w:t>
      </w:r>
      <w:r w:rsidR="002F744B">
        <w:rPr>
          <w:rFonts w:hint="eastAsia"/>
          <w:u w:val="single"/>
        </w:rPr>
        <w:t xml:space="preserve">   </w:t>
      </w:r>
      <w:r w:rsidRPr="00244498">
        <w:rPr>
          <w:rFonts w:hint="eastAsia"/>
          <w:u w:val="single"/>
        </w:rPr>
        <w:t xml:space="preserve"> </w:t>
      </w:r>
      <w:r w:rsidRPr="00244498">
        <w:rPr>
          <w:rFonts w:hint="eastAsia"/>
        </w:rPr>
        <w:t>年</w:t>
      </w:r>
      <w:r w:rsidRPr="0024449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 w:rsidRPr="00244498"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 w:rsidRPr="00244498">
        <w:rPr>
          <w:rFonts w:hint="eastAsia"/>
        </w:rPr>
        <w:t>日</w:t>
      </w:r>
    </w:p>
    <w:tbl>
      <w:tblPr>
        <w:tblpPr w:leftFromText="180" w:rightFromText="180" w:vertAnchor="text" w:horzAnchor="margin" w:tblpX="-101" w:tblpY="2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78"/>
        <w:gridCol w:w="952"/>
        <w:gridCol w:w="1021"/>
        <w:gridCol w:w="981"/>
        <w:gridCol w:w="1922"/>
      </w:tblGrid>
      <w:tr w:rsidR="003E65A4" w:rsidRPr="00244498" w:rsidTr="00E56BD2">
        <w:trPr>
          <w:trHeight w:val="387"/>
        </w:trPr>
        <w:tc>
          <w:tcPr>
            <w:tcW w:w="2526" w:type="pct"/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/>
                <w:kern w:val="2"/>
              </w:rPr>
            </w:pPr>
            <w:r>
              <w:rPr>
                <w:rFonts w:ascii="標楷體" w:hint="eastAsia"/>
                <w:kern w:val="2"/>
              </w:rPr>
              <w:t>評估</w:t>
            </w:r>
            <w:r w:rsidRPr="00244498">
              <w:rPr>
                <w:rFonts w:ascii="標楷體" w:hint="eastAsia"/>
                <w:kern w:val="2"/>
              </w:rPr>
              <w:t>重點</w:t>
            </w:r>
          </w:p>
        </w:tc>
        <w:tc>
          <w:tcPr>
            <w:tcW w:w="2474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/>
                <w:kern w:val="2"/>
              </w:rPr>
            </w:pPr>
            <w:r w:rsidRPr="00244498">
              <w:rPr>
                <w:rFonts w:ascii="標楷體" w:hint="eastAsia"/>
                <w:kern w:val="2"/>
              </w:rPr>
              <w:t>自行</w:t>
            </w:r>
            <w:r>
              <w:rPr>
                <w:rFonts w:ascii="標楷體" w:hint="eastAsia"/>
                <w:kern w:val="2"/>
              </w:rPr>
              <w:t>評估</w:t>
            </w:r>
            <w:r w:rsidRPr="00244498">
              <w:rPr>
                <w:rFonts w:ascii="標楷體" w:hint="eastAsia"/>
                <w:kern w:val="2"/>
              </w:rPr>
              <w:t>情形</w:t>
            </w:r>
          </w:p>
        </w:tc>
      </w:tr>
      <w:tr w:rsidR="003E65A4" w:rsidRPr="00244498" w:rsidTr="00E56BD2">
        <w:trPr>
          <w:trHeight w:val="230"/>
        </w:trPr>
        <w:tc>
          <w:tcPr>
            <w:tcW w:w="2526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spacing w:line="360" w:lineRule="exact"/>
              <w:ind w:left="372" w:hangingChars="155" w:hanging="372"/>
              <w:jc w:val="both"/>
            </w:pPr>
            <w:r w:rsidRPr="00244498">
              <w:rPr>
                <w:rFonts w:hint="eastAsia"/>
              </w:rPr>
              <w:t>一、作業流程有效性</w:t>
            </w:r>
          </w:p>
        </w:tc>
        <w:tc>
          <w:tcPr>
            <w:tcW w:w="483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3E65A4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  <w:r w:rsidRPr="00244498">
              <w:rPr>
                <w:rFonts w:ascii="標楷體" w:hint="eastAsia"/>
                <w:kern w:val="2"/>
              </w:rPr>
              <w:t>符合</w:t>
            </w:r>
          </w:p>
        </w:tc>
        <w:tc>
          <w:tcPr>
            <w:tcW w:w="518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  <w:r w:rsidRPr="00244498">
              <w:rPr>
                <w:rFonts w:ascii="標楷體" w:hint="eastAsia"/>
                <w:kern w:val="2"/>
              </w:rPr>
              <w:t>未符合</w:t>
            </w:r>
          </w:p>
        </w:tc>
        <w:tc>
          <w:tcPr>
            <w:tcW w:w="498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  <w:r>
              <w:rPr>
                <w:rFonts w:ascii="標楷體" w:hint="eastAsia"/>
                <w:kern w:val="2"/>
              </w:rPr>
              <w:t>不適用</w:t>
            </w:r>
          </w:p>
        </w:tc>
        <w:tc>
          <w:tcPr>
            <w:tcW w:w="975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  <w:r w:rsidRPr="00451970">
              <w:rPr>
                <w:rFonts w:ascii="標楷體" w:cs="新細明體" w:hint="eastAsia"/>
              </w:rPr>
              <w:t>評估</w:t>
            </w:r>
            <w:r w:rsidRPr="00451970">
              <w:rPr>
                <w:rFonts w:ascii="標楷體" w:hint="eastAsia"/>
              </w:rPr>
              <w:t>情形說明</w:t>
            </w:r>
          </w:p>
        </w:tc>
      </w:tr>
      <w:tr w:rsidR="003E65A4" w:rsidRPr="00244498" w:rsidTr="00E56BD2">
        <w:trPr>
          <w:trHeight w:val="230"/>
        </w:trPr>
        <w:tc>
          <w:tcPr>
            <w:tcW w:w="252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00" w:lineRule="exact"/>
              <w:ind w:leftChars="81" w:left="684" w:hangingChars="204" w:hanging="490"/>
              <w:jc w:val="both"/>
            </w:pPr>
            <w:r w:rsidRPr="00244498">
              <w:rPr>
                <w:rFonts w:ascii="標楷體" w:hint="eastAsia"/>
              </w:rPr>
              <w:t>(</w:t>
            </w:r>
            <w:proofErr w:type="gramStart"/>
            <w:r w:rsidRPr="00244498">
              <w:rPr>
                <w:rFonts w:ascii="標楷體" w:hint="eastAsia"/>
              </w:rPr>
              <w:t>一</w:t>
            </w:r>
            <w:proofErr w:type="gramEnd"/>
            <w:r w:rsidRPr="00244498">
              <w:rPr>
                <w:rFonts w:ascii="標楷體" w:hint="eastAsia"/>
              </w:rPr>
              <w:t>)作業程序說</w:t>
            </w:r>
            <w:r w:rsidRPr="00244498">
              <w:rPr>
                <w:rFonts w:ascii="標楷體" w:hint="eastAsia"/>
                <w:kern w:val="2"/>
              </w:rPr>
              <w:t>明及作業流程圖之製作是否與規定相符。</w:t>
            </w:r>
          </w:p>
        </w:tc>
        <w:tc>
          <w:tcPr>
            <w:tcW w:w="48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A4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5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49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97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</w:p>
        </w:tc>
      </w:tr>
      <w:tr w:rsidR="003E65A4" w:rsidRPr="00244498" w:rsidTr="00E56BD2">
        <w:trPr>
          <w:trHeight w:val="230"/>
        </w:trPr>
        <w:tc>
          <w:tcPr>
            <w:tcW w:w="2526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00" w:lineRule="exact"/>
              <w:ind w:leftChars="81" w:left="684" w:hangingChars="204" w:hanging="490"/>
              <w:jc w:val="both"/>
            </w:pPr>
            <w:r w:rsidRPr="00244498">
              <w:rPr>
                <w:rFonts w:ascii="標楷體" w:hint="eastAsia"/>
                <w:kern w:val="2"/>
              </w:rPr>
              <w:t>(二)內部</w:t>
            </w:r>
            <w:r w:rsidRPr="00E479D1">
              <w:rPr>
                <w:rFonts w:ascii="標楷體" w:hint="eastAsia"/>
              </w:rPr>
              <w:t>控制</w:t>
            </w:r>
            <w:r w:rsidRPr="00244498">
              <w:rPr>
                <w:rFonts w:ascii="標楷體" w:hint="eastAsia"/>
                <w:kern w:val="2"/>
              </w:rPr>
              <w:t>制度</w:t>
            </w:r>
            <w:r w:rsidRPr="002803A8">
              <w:rPr>
                <w:rFonts w:ascii="標楷體" w:hint="eastAsia"/>
              </w:rPr>
              <w:t>是否</w:t>
            </w:r>
            <w:r w:rsidRPr="00244498">
              <w:rPr>
                <w:rFonts w:ascii="標楷體" w:hint="eastAsia"/>
              </w:rPr>
              <w:t>有效設計及執行。</w:t>
            </w:r>
          </w:p>
        </w:tc>
        <w:tc>
          <w:tcPr>
            <w:tcW w:w="483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5A4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518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498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975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</w:p>
        </w:tc>
      </w:tr>
      <w:tr w:rsidR="003E65A4" w:rsidRPr="00244498" w:rsidTr="00E56BD2">
        <w:tc>
          <w:tcPr>
            <w:tcW w:w="2526" w:type="pct"/>
            <w:tcBorders>
              <w:top w:val="nil"/>
              <w:bottom w:val="dashSmallGap" w:sz="4" w:space="0" w:color="auto"/>
            </w:tcBorders>
            <w:shd w:val="clear" w:color="auto" w:fill="FFFFFF"/>
            <w:vAlign w:val="center"/>
          </w:tcPr>
          <w:p w:rsidR="004F5F4A" w:rsidRDefault="003E65A4" w:rsidP="003E65A4">
            <w:pPr>
              <w:spacing w:line="360" w:lineRule="exact"/>
              <w:ind w:left="372" w:hangingChars="155" w:hanging="372"/>
              <w:jc w:val="both"/>
              <w:rPr>
                <w:color w:val="0000FF"/>
              </w:rPr>
            </w:pPr>
            <w:r w:rsidRPr="00905973">
              <w:rPr>
                <w:rFonts w:hint="eastAsia"/>
                <w:color w:val="0000FF"/>
              </w:rPr>
              <w:t>二、</w:t>
            </w:r>
            <w:r>
              <w:rPr>
                <w:rFonts w:hint="eastAsia"/>
                <w:u w:val="single"/>
              </w:rPr>
              <w:sym w:font="Wingdings 2" w:char="F081"/>
            </w:r>
            <w:r>
              <w:rPr>
                <w:rFonts w:hint="eastAsia"/>
                <w:u w:val="single"/>
              </w:rPr>
              <w:sym w:font="Wingdings 2" w:char="F081"/>
            </w:r>
            <w:r>
              <w:rPr>
                <w:rFonts w:hint="eastAsia"/>
                <w:color w:val="0000FF"/>
              </w:rPr>
              <w:t>作業(項目名稱)</w:t>
            </w:r>
          </w:p>
          <w:p w:rsidR="003E65A4" w:rsidRPr="00F744C2" w:rsidRDefault="004F5F4A" w:rsidP="004F5F4A">
            <w:pPr>
              <w:spacing w:line="360" w:lineRule="exact"/>
              <w:ind w:left="372" w:hangingChars="155" w:hanging="372"/>
              <w:jc w:val="both"/>
              <w:rPr>
                <w:rFonts w:ascii="Times New Roman"/>
              </w:rPr>
            </w:pPr>
            <w:r>
              <w:rPr>
                <w:rFonts w:hint="eastAsia"/>
                <w:color w:val="0000FF"/>
              </w:rPr>
              <w:t xml:space="preserve">    </w:t>
            </w:r>
            <w:r w:rsidRPr="004F5F4A">
              <w:rPr>
                <w:rFonts w:hint="eastAsia"/>
                <w:color w:val="FF0000"/>
              </w:rPr>
              <w:t>下方請列出該作業之控制重點</w:t>
            </w:r>
            <w:r>
              <w:rPr>
                <w:rFonts w:hint="eastAsia"/>
                <w:color w:val="FF0000"/>
              </w:rPr>
              <w:t>並做評估</w:t>
            </w:r>
          </w:p>
        </w:tc>
        <w:tc>
          <w:tcPr>
            <w:tcW w:w="483" w:type="pct"/>
            <w:tcBorders>
              <w:top w:val="nil"/>
              <w:bottom w:val="dashSmallGap" w:sz="4" w:space="0" w:color="auto"/>
            </w:tcBorders>
            <w:shd w:val="clear" w:color="auto" w:fill="FFFFFF"/>
            <w:vAlign w:val="center"/>
          </w:tcPr>
          <w:p w:rsidR="003E65A4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  <w:r w:rsidRPr="00244498">
              <w:rPr>
                <w:rFonts w:ascii="標楷體" w:hint="eastAsia"/>
                <w:kern w:val="2"/>
              </w:rPr>
              <w:t>符合</w:t>
            </w:r>
          </w:p>
        </w:tc>
        <w:tc>
          <w:tcPr>
            <w:tcW w:w="518" w:type="pct"/>
            <w:tcBorders>
              <w:top w:val="nil"/>
              <w:bottom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  <w:r w:rsidRPr="00244498">
              <w:rPr>
                <w:rFonts w:ascii="標楷體" w:hint="eastAsia"/>
                <w:kern w:val="2"/>
              </w:rPr>
              <w:t>未符合</w:t>
            </w:r>
          </w:p>
        </w:tc>
        <w:tc>
          <w:tcPr>
            <w:tcW w:w="498" w:type="pct"/>
            <w:tcBorders>
              <w:top w:val="nil"/>
              <w:bottom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  <w:r>
              <w:rPr>
                <w:rFonts w:ascii="標楷體" w:hint="eastAsia"/>
                <w:kern w:val="2"/>
              </w:rPr>
              <w:t>不適用</w:t>
            </w:r>
          </w:p>
        </w:tc>
        <w:tc>
          <w:tcPr>
            <w:tcW w:w="975" w:type="pct"/>
            <w:tcBorders>
              <w:top w:val="nil"/>
              <w:bottom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/>
                <w:kern w:val="2"/>
              </w:rPr>
            </w:pPr>
            <w:r w:rsidRPr="00451970">
              <w:rPr>
                <w:rFonts w:ascii="標楷體" w:cs="新細明體" w:hint="eastAsia"/>
              </w:rPr>
              <w:t>評估</w:t>
            </w:r>
            <w:r w:rsidRPr="00451970">
              <w:rPr>
                <w:rFonts w:ascii="標楷體" w:hint="eastAsia"/>
              </w:rPr>
              <w:t>情形說明</w:t>
            </w:r>
          </w:p>
        </w:tc>
      </w:tr>
      <w:tr w:rsidR="003E65A4" w:rsidRPr="00244498" w:rsidTr="00E56BD2">
        <w:tc>
          <w:tcPr>
            <w:tcW w:w="2526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905973" w:rsidRDefault="003E65A4" w:rsidP="003E65A4">
            <w:pPr>
              <w:pStyle w:val="Web"/>
              <w:spacing w:before="0" w:beforeAutospacing="0" w:after="0" w:afterAutospacing="0" w:line="300" w:lineRule="exact"/>
              <w:ind w:leftChars="81" w:left="684" w:hangingChars="204" w:hanging="490"/>
              <w:jc w:val="both"/>
              <w:rPr>
                <w:color w:val="0000FF"/>
              </w:rPr>
            </w:pPr>
            <w:r w:rsidRPr="00905973">
              <w:rPr>
                <w:rFonts w:ascii="標楷體" w:hint="eastAsia"/>
                <w:color w:val="0000FF"/>
              </w:rPr>
              <w:t>(</w:t>
            </w:r>
            <w:proofErr w:type="gramStart"/>
            <w:r w:rsidRPr="00905973">
              <w:rPr>
                <w:rFonts w:ascii="標楷體" w:hint="eastAsia"/>
                <w:color w:val="0000FF"/>
              </w:rPr>
              <w:t>一</w:t>
            </w:r>
            <w:proofErr w:type="gramEnd"/>
            <w:r w:rsidRPr="00905973">
              <w:rPr>
                <w:rFonts w:ascii="標楷體" w:hint="eastAsia"/>
                <w:color w:val="0000FF"/>
              </w:rPr>
              <w:t>)</w:t>
            </w:r>
            <w:r>
              <w:rPr>
                <w:rFonts w:hint="eastAsia"/>
                <w:color w:val="0000FF"/>
              </w:rPr>
              <w:t xml:space="preserve"> (</w:t>
            </w:r>
            <w:r>
              <w:rPr>
                <w:rFonts w:hint="eastAsia"/>
                <w:color w:val="0000FF"/>
              </w:rPr>
              <w:t>控制重點</w:t>
            </w:r>
            <w:r>
              <w:rPr>
                <w:rFonts w:hint="eastAsia"/>
                <w:color w:val="0000FF"/>
              </w:rPr>
              <w:t>)</w:t>
            </w:r>
            <w:r w:rsidRPr="00905973">
              <w:rPr>
                <w:rFonts w:ascii="Times New Roman"/>
                <w:color w:val="0000FF"/>
              </w:rPr>
              <w:t>。</w:t>
            </w:r>
          </w:p>
        </w:tc>
        <w:tc>
          <w:tcPr>
            <w:tcW w:w="48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5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49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9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</w:tr>
      <w:tr w:rsidR="003E65A4" w:rsidRPr="00244498" w:rsidTr="00E56BD2">
        <w:tc>
          <w:tcPr>
            <w:tcW w:w="2526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905973" w:rsidRDefault="003E65A4" w:rsidP="003E65A4">
            <w:pPr>
              <w:pStyle w:val="Web"/>
              <w:spacing w:before="0" w:beforeAutospacing="0" w:after="0" w:afterAutospacing="0" w:line="300" w:lineRule="exact"/>
              <w:ind w:leftChars="81" w:left="684" w:hangingChars="204" w:hanging="490"/>
              <w:jc w:val="both"/>
              <w:rPr>
                <w:color w:val="0000FF"/>
              </w:rPr>
            </w:pPr>
            <w:r w:rsidRPr="00905973">
              <w:rPr>
                <w:rFonts w:ascii="標楷體" w:hint="eastAsia"/>
                <w:color w:val="0000FF"/>
              </w:rPr>
              <w:t>(二)</w:t>
            </w:r>
            <w:r>
              <w:rPr>
                <w:rFonts w:hint="eastAsia"/>
                <w:color w:val="0000FF"/>
              </w:rPr>
              <w:t xml:space="preserve"> (</w:t>
            </w:r>
            <w:r>
              <w:rPr>
                <w:rFonts w:hint="eastAsia"/>
                <w:color w:val="0000FF"/>
              </w:rPr>
              <w:t>控制重點</w:t>
            </w:r>
            <w:r>
              <w:rPr>
                <w:rFonts w:hint="eastAsia"/>
                <w:color w:val="0000FF"/>
              </w:rPr>
              <w:t>)</w:t>
            </w:r>
            <w:r w:rsidRPr="00905973">
              <w:rPr>
                <w:rFonts w:ascii="Times New Roman"/>
                <w:color w:val="0000FF"/>
              </w:rPr>
              <w:t>。</w:t>
            </w:r>
          </w:p>
        </w:tc>
        <w:tc>
          <w:tcPr>
            <w:tcW w:w="48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5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49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9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</w:tr>
      <w:tr w:rsidR="003E65A4" w:rsidRPr="00244498" w:rsidTr="00E56BD2">
        <w:tc>
          <w:tcPr>
            <w:tcW w:w="2526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905973" w:rsidRDefault="003E65A4" w:rsidP="003E65A4">
            <w:pPr>
              <w:pStyle w:val="Web"/>
              <w:spacing w:before="0" w:beforeAutospacing="0" w:after="0" w:afterAutospacing="0" w:line="300" w:lineRule="exact"/>
              <w:ind w:leftChars="81" w:left="684" w:hangingChars="204" w:hanging="490"/>
              <w:jc w:val="both"/>
              <w:rPr>
                <w:color w:val="0000FF"/>
              </w:rPr>
            </w:pPr>
            <w:r w:rsidRPr="00905973">
              <w:rPr>
                <w:rFonts w:ascii="標楷體" w:hint="eastAsia"/>
                <w:color w:val="0000FF"/>
              </w:rPr>
              <w:t>(三)</w:t>
            </w:r>
            <w:r>
              <w:rPr>
                <w:rFonts w:hint="eastAsia"/>
                <w:color w:val="0000FF"/>
              </w:rPr>
              <w:t xml:space="preserve"> (</w:t>
            </w:r>
            <w:r>
              <w:rPr>
                <w:rFonts w:hint="eastAsia"/>
                <w:color w:val="0000FF"/>
              </w:rPr>
              <w:t>控制重點</w:t>
            </w:r>
            <w:r>
              <w:rPr>
                <w:rFonts w:hint="eastAsia"/>
                <w:color w:val="0000FF"/>
              </w:rPr>
              <w:t>)</w:t>
            </w:r>
            <w:r w:rsidRPr="00905973">
              <w:rPr>
                <w:rFonts w:ascii="Times New Roman"/>
                <w:color w:val="0000FF"/>
              </w:rPr>
              <w:t>。</w:t>
            </w:r>
          </w:p>
        </w:tc>
        <w:tc>
          <w:tcPr>
            <w:tcW w:w="48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5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49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9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</w:tr>
      <w:tr w:rsidR="003E65A4" w:rsidRPr="00244498" w:rsidTr="00E56BD2">
        <w:tc>
          <w:tcPr>
            <w:tcW w:w="2526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905973" w:rsidRDefault="004F5F4A" w:rsidP="004F5F4A">
            <w:pPr>
              <w:pStyle w:val="Web"/>
              <w:spacing w:before="0" w:beforeAutospacing="0" w:after="0" w:afterAutospacing="0" w:line="300" w:lineRule="exact"/>
              <w:ind w:leftChars="81" w:left="684" w:hangingChars="204" w:hanging="490"/>
              <w:jc w:val="both"/>
              <w:rPr>
                <w:color w:val="0000FF"/>
              </w:rPr>
            </w:pPr>
            <w:r>
              <w:rPr>
                <w:color w:val="0000FF"/>
              </w:rPr>
              <w:t>…</w:t>
            </w:r>
            <w:r>
              <w:rPr>
                <w:rFonts w:hint="eastAsia"/>
                <w:color w:val="0000FF"/>
              </w:rPr>
              <w:t>.</w:t>
            </w:r>
          </w:p>
        </w:tc>
        <w:tc>
          <w:tcPr>
            <w:tcW w:w="48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5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49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9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</w:tr>
      <w:tr w:rsidR="003E65A4" w:rsidRPr="00244498" w:rsidTr="00E56BD2">
        <w:tc>
          <w:tcPr>
            <w:tcW w:w="2526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905973" w:rsidRDefault="004F5F4A" w:rsidP="004F5F4A">
            <w:pPr>
              <w:pStyle w:val="Web"/>
              <w:spacing w:before="0" w:beforeAutospacing="0" w:after="0" w:afterAutospacing="0" w:line="300" w:lineRule="exact"/>
              <w:ind w:leftChars="81" w:left="684" w:hangingChars="204" w:hanging="490"/>
              <w:jc w:val="both"/>
              <w:rPr>
                <w:color w:val="0000FF"/>
              </w:rPr>
            </w:pPr>
            <w:r>
              <w:rPr>
                <w:color w:val="0000FF"/>
              </w:rPr>
              <w:t>…</w:t>
            </w:r>
            <w:r>
              <w:rPr>
                <w:rFonts w:hint="eastAsia"/>
                <w:color w:val="0000FF"/>
              </w:rPr>
              <w:t>.</w:t>
            </w:r>
          </w:p>
        </w:tc>
        <w:tc>
          <w:tcPr>
            <w:tcW w:w="48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5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49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  <w:tc>
          <w:tcPr>
            <w:tcW w:w="9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/>
                <w:kern w:val="2"/>
              </w:rPr>
            </w:pPr>
          </w:p>
        </w:tc>
      </w:tr>
      <w:tr w:rsidR="003E65A4" w:rsidRPr="00244498" w:rsidTr="00E56BD2">
        <w:trPr>
          <w:trHeight w:val="2362"/>
        </w:trPr>
        <w:tc>
          <w:tcPr>
            <w:tcW w:w="5000" w:type="pct"/>
            <w:gridSpan w:val="5"/>
            <w:tcBorders>
              <w:top w:val="dashSmallGap" w:sz="4" w:space="0" w:color="auto"/>
            </w:tcBorders>
            <w:shd w:val="clear" w:color="auto" w:fill="FFFFFF"/>
          </w:tcPr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/>
                <w:kern w:val="2"/>
              </w:rPr>
            </w:pPr>
            <w:r w:rsidRPr="00244498">
              <w:rPr>
                <w:rFonts w:ascii="標楷體" w:hint="eastAsia"/>
                <w:kern w:val="2"/>
              </w:rPr>
              <w:t>結論/需</w:t>
            </w:r>
            <w:proofErr w:type="gramStart"/>
            <w:r w:rsidRPr="00244498">
              <w:rPr>
                <w:rFonts w:ascii="標楷體" w:hint="eastAsia"/>
                <w:kern w:val="2"/>
              </w:rPr>
              <w:t>採</w:t>
            </w:r>
            <w:proofErr w:type="gramEnd"/>
            <w:r w:rsidRPr="00244498">
              <w:rPr>
                <w:rFonts w:ascii="標楷體" w:hint="eastAsia"/>
                <w:kern w:val="2"/>
              </w:rPr>
              <w:t>行之改善措施：</w:t>
            </w:r>
          </w:p>
          <w:p w:rsidR="003E65A4" w:rsidRPr="00244498" w:rsidRDefault="003E65A4" w:rsidP="00E56BD2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/>
                <w:kern w:val="2"/>
              </w:rPr>
            </w:pPr>
          </w:p>
        </w:tc>
      </w:tr>
      <w:tr w:rsidR="003E65A4" w:rsidRPr="00244498" w:rsidTr="00E56BD2">
        <w:trPr>
          <w:trHeight w:val="78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E65A4" w:rsidRPr="00244498" w:rsidRDefault="003E65A4" w:rsidP="00E56BD2">
            <w:pPr>
              <w:spacing w:line="400" w:lineRule="exact"/>
              <w:jc w:val="both"/>
              <w:rPr>
                <w:b/>
              </w:rPr>
            </w:pPr>
            <w:r w:rsidRPr="00244498">
              <w:rPr>
                <w:rFonts w:hint="eastAsia"/>
              </w:rPr>
              <w:t xml:space="preserve">填表人：                   複核：                   單位主管：       </w:t>
            </w:r>
          </w:p>
        </w:tc>
      </w:tr>
    </w:tbl>
    <w:p w:rsidR="003E65A4" w:rsidRDefault="003E65A4" w:rsidP="003E65A4">
      <w:pPr>
        <w:pStyle w:val="Web"/>
        <w:snapToGrid w:val="0"/>
        <w:spacing w:before="0" w:beforeAutospacing="0" w:after="0" w:afterAutospacing="0"/>
        <w:ind w:left="516" w:hangingChars="215" w:hanging="516"/>
        <w:rPr>
          <w:rFonts w:ascii="標楷體"/>
          <w:u w:val="single"/>
        </w:rPr>
      </w:pPr>
      <w:proofErr w:type="gramStart"/>
      <w:r w:rsidRPr="00244498">
        <w:rPr>
          <w:rFonts w:ascii="標楷體" w:hint="eastAsia"/>
        </w:rPr>
        <w:t>註</w:t>
      </w:r>
      <w:proofErr w:type="gramEnd"/>
      <w:r w:rsidRPr="00244498">
        <w:rPr>
          <w:rFonts w:ascii="標楷體" w:hint="eastAsia"/>
        </w:rPr>
        <w:t>：</w:t>
      </w:r>
      <w:r w:rsidRPr="00B35481">
        <w:rPr>
          <w:rFonts w:cs="DFKaiShu-SB-Estd-BF" w:hint="eastAsia"/>
        </w:rPr>
        <w:t>各單位每年自行評估一次，</w:t>
      </w:r>
      <w:r w:rsidRPr="00C45917">
        <w:rPr>
          <w:rFonts w:ascii="標楷體" w:hint="eastAsia"/>
        </w:rPr>
        <w:t>根據評估結果於自行評估情形欄勾選「符合」、「未符合」或「不適用」，若為</w:t>
      </w:r>
      <w:r w:rsidRPr="00905973">
        <w:rPr>
          <w:rFonts w:ascii="標楷體" w:hint="eastAsia"/>
          <w:highlight w:val="yellow"/>
          <w:u w:val="single"/>
        </w:rPr>
        <w:t>「未符合」情形，</w:t>
      </w:r>
      <w:r w:rsidRPr="00905973">
        <w:rPr>
          <w:rFonts w:hint="eastAsia"/>
          <w:highlight w:val="yellow"/>
          <w:u w:val="single"/>
        </w:rPr>
        <w:t>應</w:t>
      </w:r>
      <w:r w:rsidRPr="00905973">
        <w:rPr>
          <w:rFonts w:ascii="標楷體" w:hint="eastAsia"/>
          <w:highlight w:val="yellow"/>
          <w:u w:val="single"/>
        </w:rPr>
        <w:t>於評估情形說明欄詳細說明評估結果，且於撰寫評估結論時一併敘明須</w:t>
      </w:r>
      <w:proofErr w:type="gramStart"/>
      <w:r w:rsidRPr="00905973">
        <w:rPr>
          <w:rFonts w:ascii="標楷體" w:hint="eastAsia"/>
          <w:highlight w:val="yellow"/>
          <w:u w:val="single"/>
        </w:rPr>
        <w:t>採</w:t>
      </w:r>
      <w:proofErr w:type="gramEnd"/>
      <w:r w:rsidRPr="00905973">
        <w:rPr>
          <w:rFonts w:ascii="標楷體" w:hint="eastAsia"/>
          <w:highlight w:val="yellow"/>
          <w:u w:val="single"/>
        </w:rPr>
        <w:t>行之改善措施</w:t>
      </w:r>
      <w:r w:rsidRPr="00C45917">
        <w:rPr>
          <w:rFonts w:ascii="標楷體" w:hint="eastAsia"/>
        </w:rPr>
        <w:t>；</w:t>
      </w:r>
      <w:r w:rsidRPr="00905973">
        <w:rPr>
          <w:rFonts w:ascii="標楷體" w:hint="eastAsia"/>
          <w:highlight w:val="yellow"/>
        </w:rPr>
        <w:t>若為</w:t>
      </w:r>
      <w:r w:rsidRPr="00905973">
        <w:rPr>
          <w:rFonts w:ascii="標楷體" w:hint="eastAsia"/>
          <w:highlight w:val="yellow"/>
          <w:u w:val="single"/>
        </w:rPr>
        <w:t>「不適用」情形，應於評估情形</w:t>
      </w:r>
      <w:proofErr w:type="gramStart"/>
      <w:r w:rsidRPr="00905973">
        <w:rPr>
          <w:rFonts w:ascii="標楷體" w:hint="eastAsia"/>
          <w:highlight w:val="yellow"/>
          <w:u w:val="single"/>
        </w:rPr>
        <w:t>說明欄敘明理</w:t>
      </w:r>
      <w:proofErr w:type="gramEnd"/>
      <w:r w:rsidRPr="00905973">
        <w:rPr>
          <w:rFonts w:ascii="標楷體" w:hint="eastAsia"/>
          <w:highlight w:val="yellow"/>
          <w:u w:val="single"/>
        </w:rPr>
        <w:t>由及是否須檢討修正評估重點</w:t>
      </w:r>
      <w:r w:rsidRPr="00905973">
        <w:rPr>
          <w:rFonts w:ascii="標楷體" w:hint="eastAsia"/>
          <w:highlight w:val="yellow"/>
        </w:rPr>
        <w:t>。</w:t>
      </w:r>
    </w:p>
    <w:p w:rsidR="00B35481" w:rsidRPr="003E65A4" w:rsidRDefault="00B35481" w:rsidP="00B35481"/>
    <w:sectPr w:rsidR="00B35481" w:rsidRPr="003E65A4" w:rsidSect="00B3548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77" w:rsidRDefault="00E76C77" w:rsidP="00C20710">
      <w:r>
        <w:separator/>
      </w:r>
    </w:p>
  </w:endnote>
  <w:endnote w:type="continuationSeparator" w:id="0">
    <w:p w:rsidR="00E76C77" w:rsidRDefault="00E76C77" w:rsidP="00C2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77" w:rsidRDefault="00E76C77" w:rsidP="00C20710">
      <w:r>
        <w:separator/>
      </w:r>
    </w:p>
  </w:footnote>
  <w:footnote w:type="continuationSeparator" w:id="0">
    <w:p w:rsidR="00E76C77" w:rsidRDefault="00E76C77" w:rsidP="00C2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F02"/>
    <w:multiLevelType w:val="multilevel"/>
    <w:tmpl w:val="2E18C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13B037B"/>
    <w:multiLevelType w:val="hybridMultilevel"/>
    <w:tmpl w:val="590E02BA"/>
    <w:lvl w:ilvl="0" w:tplc="D32499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4169ED"/>
    <w:multiLevelType w:val="hybridMultilevel"/>
    <w:tmpl w:val="2A2C52D2"/>
    <w:lvl w:ilvl="0" w:tplc="95E020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1B54A6"/>
    <w:multiLevelType w:val="hybridMultilevel"/>
    <w:tmpl w:val="2A2C52D2"/>
    <w:lvl w:ilvl="0" w:tplc="95E020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AC61F2"/>
    <w:multiLevelType w:val="hybridMultilevel"/>
    <w:tmpl w:val="2A2C52D2"/>
    <w:lvl w:ilvl="0" w:tplc="95E020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E55C74"/>
    <w:multiLevelType w:val="hybridMultilevel"/>
    <w:tmpl w:val="2BD28202"/>
    <w:lvl w:ilvl="0" w:tplc="105A8E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5F2AB9"/>
    <w:multiLevelType w:val="hybridMultilevel"/>
    <w:tmpl w:val="2A2C52D2"/>
    <w:lvl w:ilvl="0" w:tplc="95E020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1E6431"/>
    <w:multiLevelType w:val="hybridMultilevel"/>
    <w:tmpl w:val="2A2C52D2"/>
    <w:lvl w:ilvl="0" w:tplc="95E020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81"/>
    <w:rsid w:val="000A0E96"/>
    <w:rsid w:val="000F5516"/>
    <w:rsid w:val="00187242"/>
    <w:rsid w:val="002803A8"/>
    <w:rsid w:val="002F744B"/>
    <w:rsid w:val="00397BA0"/>
    <w:rsid w:val="003E65A4"/>
    <w:rsid w:val="004A63DE"/>
    <w:rsid w:val="004F5F4A"/>
    <w:rsid w:val="005736AF"/>
    <w:rsid w:val="006A098D"/>
    <w:rsid w:val="00905973"/>
    <w:rsid w:val="009A193A"/>
    <w:rsid w:val="00B35481"/>
    <w:rsid w:val="00C20710"/>
    <w:rsid w:val="00CD173A"/>
    <w:rsid w:val="00D53CE2"/>
    <w:rsid w:val="00E479D1"/>
    <w:rsid w:val="00E76C77"/>
    <w:rsid w:val="00E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81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81"/>
    <w:pPr>
      <w:ind w:leftChars="200" w:left="480"/>
    </w:pPr>
  </w:style>
  <w:style w:type="paragraph" w:styleId="Web">
    <w:name w:val="Normal (Web)"/>
    <w:basedOn w:val="a"/>
    <w:rsid w:val="00B3548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4">
    <w:name w:val="header"/>
    <w:basedOn w:val="a"/>
    <w:link w:val="a5"/>
    <w:uiPriority w:val="99"/>
    <w:unhideWhenUsed/>
    <w:rsid w:val="00C20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710"/>
    <w:rPr>
      <w:rFonts w:ascii="標楷體" w:eastAsia="標楷體" w:hAnsi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710"/>
    <w:rPr>
      <w:rFonts w:ascii="標楷體" w:eastAsia="標楷體" w:hAnsi="標楷體" w:cs="Times New Roman"/>
      <w:sz w:val="20"/>
      <w:szCs w:val="20"/>
    </w:rPr>
  </w:style>
  <w:style w:type="paragraph" w:styleId="a8">
    <w:name w:val="Block Text"/>
    <w:basedOn w:val="a"/>
    <w:rsid w:val="00C2071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hAnsi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81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81"/>
    <w:pPr>
      <w:ind w:leftChars="200" w:left="480"/>
    </w:pPr>
  </w:style>
  <w:style w:type="paragraph" w:styleId="Web">
    <w:name w:val="Normal (Web)"/>
    <w:basedOn w:val="a"/>
    <w:rsid w:val="00B3548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4">
    <w:name w:val="header"/>
    <w:basedOn w:val="a"/>
    <w:link w:val="a5"/>
    <w:uiPriority w:val="99"/>
    <w:unhideWhenUsed/>
    <w:rsid w:val="00C20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0710"/>
    <w:rPr>
      <w:rFonts w:ascii="標楷體" w:eastAsia="標楷體" w:hAnsi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0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0710"/>
    <w:rPr>
      <w:rFonts w:ascii="標楷體" w:eastAsia="標楷體" w:hAnsi="標楷體" w:cs="Times New Roman"/>
      <w:sz w:val="20"/>
      <w:szCs w:val="20"/>
    </w:rPr>
  </w:style>
  <w:style w:type="paragraph" w:styleId="a8">
    <w:name w:val="Block Text"/>
    <w:basedOn w:val="a"/>
    <w:rsid w:val="00C2071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hAnsi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airu</dc:creator>
  <cp:lastModifiedBy>airu</cp:lastModifiedBy>
  <cp:revision>8</cp:revision>
  <cp:lastPrinted>2015-04-10T08:23:00Z</cp:lastPrinted>
  <dcterms:created xsi:type="dcterms:W3CDTF">2015-04-07T11:00:00Z</dcterms:created>
  <dcterms:modified xsi:type="dcterms:W3CDTF">2015-07-02T05:08:00Z</dcterms:modified>
</cp:coreProperties>
</file>